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滁州市林业局202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年度食用林产品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质量</w:t>
      </w:r>
      <w:r>
        <w:rPr>
          <w:rFonts w:hint="eastAsia" w:ascii="方正小标宋简体" w:eastAsia="方正小标宋简体"/>
          <w:sz w:val="44"/>
          <w:szCs w:val="44"/>
        </w:rPr>
        <w:t>安全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监管计划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履行林业部门食用林产品质量安全监管职责，提高我市食用林产品质量安全水平，根据《关于“食安安徽”品牌建设的实施意见》（皖政办〔2021〕3号）、《关于印发&lt;安徽省林业局2021年食用林产品质量安全监测方案&gt;的通知》（林产函〔2021〕94号）要求，结合我市实际，特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工作目标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按照省林业局对食用林产品质量的总体要求，以“食安安徽”品牌建设为契机，以食用林产品质量安全监测为抓手，通过“摸排、监管、整改、提升”四步走战略，全面掌握我市食用林产品发展现状，摸清食用林产品生产基地基本情况，提高食用林产品质量安全水平，保障人民群众食品安全，促进我市食用林产品产业高质量发展，助力“食安安徽”品牌建设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重点任务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摸排食用林产品生产基地。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生产食用林产品的国家级或省、市、县级林业产业化企业、国家级标准化示范企业、省级农民林业专业合作社、家庭林场等规模化种植基地进行摸排登记，摸清其主体名称、统一社会信用代码、地址、负责人、联系电话、主营产品及产量、种植面积、年收入、所获认证认定等基本情况，建立全市</w:t>
      </w:r>
      <w:r>
        <w:rPr>
          <w:rFonts w:hint="eastAsia" w:ascii="仿宋_GB2312" w:eastAsia="仿宋_GB2312"/>
          <w:sz w:val="32"/>
          <w:szCs w:val="32"/>
          <w:lang w:eastAsia="zh-CN"/>
        </w:rPr>
        <w:t>食用林产品规模化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生产基地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。各</w:t>
      </w:r>
      <w:r>
        <w:rPr>
          <w:rFonts w:hint="eastAsia" w:eastAsia="仿宋_GB2312"/>
          <w:sz w:val="32"/>
          <w:szCs w:val="20"/>
        </w:rPr>
        <w:t>县（市、区）林业主管部门应根据当地食用林产品生产状况，</w:t>
      </w:r>
      <w:r>
        <w:rPr>
          <w:rFonts w:hint="eastAsia" w:eastAsia="仿宋_GB2312"/>
          <w:sz w:val="32"/>
          <w:szCs w:val="20"/>
          <w:lang w:eastAsia="zh-CN"/>
        </w:rPr>
        <w:t>填报</w:t>
      </w:r>
      <w:r>
        <w:rPr>
          <w:rFonts w:hint="eastAsia" w:eastAsia="仿宋_GB2312"/>
          <w:sz w:val="32"/>
          <w:szCs w:val="20"/>
        </w:rPr>
        <w:t>具有代表性的生产基地名单</w:t>
      </w:r>
      <w:r>
        <w:rPr>
          <w:rFonts w:hint="eastAsia" w:eastAsia="仿宋_GB2312"/>
          <w:sz w:val="32"/>
          <w:szCs w:val="20"/>
          <w:lang w:eastAsia="zh-CN"/>
        </w:rPr>
        <w:t>，上报数量不少于</w:t>
      </w:r>
      <w:r>
        <w:rPr>
          <w:rFonts w:hint="eastAsia" w:eastAsia="仿宋_GB2312"/>
          <w:sz w:val="32"/>
          <w:szCs w:val="20"/>
          <w:lang w:val="en-US" w:eastAsia="zh-CN"/>
        </w:rPr>
        <w:t>5户</w:t>
      </w:r>
      <w:r>
        <w:rPr>
          <w:rFonts w:hint="eastAsia" w:eastAsia="仿宋_GB2312"/>
          <w:sz w:val="32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开展食用林产品质量监测。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根据我市食用林产品生产现状和未来发展规划，确定重点监测品种和监测区域，积极开展食用林产品重点区域、集中区域产地环境和产品质量监测工作，特别是薄壳山核桃果实质量及其产地环境土壤的抽样检测。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/>
          <w:sz w:val="32"/>
          <w:szCs w:val="32"/>
          <w:lang w:eastAsia="zh-CN"/>
        </w:rPr>
        <w:t>年度</w:t>
      </w:r>
      <w:r>
        <w:rPr>
          <w:rFonts w:hint="eastAsia" w:ascii="仿宋_GB2312" w:eastAsia="仿宋_GB2312"/>
          <w:sz w:val="32"/>
          <w:szCs w:val="32"/>
        </w:rPr>
        <w:t>监测</w:t>
      </w:r>
      <w:r>
        <w:rPr>
          <w:rFonts w:hint="eastAsia" w:ascii="仿宋_GB2312" w:eastAsia="仿宋_GB2312"/>
          <w:sz w:val="32"/>
          <w:szCs w:val="32"/>
          <w:lang w:eastAsia="zh-CN"/>
        </w:rPr>
        <w:t>。根据省局要求，积极</w:t>
      </w:r>
      <w:r>
        <w:rPr>
          <w:rFonts w:hint="eastAsia" w:ascii="仿宋_GB2312" w:eastAsia="仿宋_GB2312"/>
          <w:sz w:val="32"/>
          <w:szCs w:val="32"/>
        </w:rPr>
        <w:t>配合</w:t>
      </w:r>
      <w:r>
        <w:rPr>
          <w:rFonts w:hint="eastAsia" w:ascii="仿宋_GB2312" w:eastAsia="仿宋_GB2312"/>
          <w:sz w:val="32"/>
          <w:szCs w:val="32"/>
          <w:lang w:eastAsia="zh-CN"/>
        </w:rPr>
        <w:t>省级承检机构</w:t>
      </w:r>
      <w:r>
        <w:rPr>
          <w:rFonts w:hint="eastAsia" w:ascii="仿宋_GB2312" w:eastAsia="仿宋_GB2312"/>
          <w:sz w:val="32"/>
          <w:szCs w:val="32"/>
        </w:rPr>
        <w:t>对我市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薄壳山核桃等食用林产品及其</w:t>
      </w:r>
      <w:r>
        <w:rPr>
          <w:rFonts w:hint="eastAsia" w:ascii="仿宋_GB2312" w:eastAsia="仿宋_GB2312"/>
          <w:sz w:val="32"/>
          <w:szCs w:val="32"/>
        </w:rPr>
        <w:t>产地环境土壤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进行抽样检测。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自主监测。</w:t>
      </w:r>
      <w:r>
        <w:rPr>
          <w:rFonts w:hint="eastAsia" w:ascii="仿宋_GB2312" w:eastAsia="仿宋_GB2312"/>
          <w:sz w:val="32"/>
          <w:szCs w:val="32"/>
          <w:lang w:eastAsia="zh-CN"/>
        </w:rPr>
        <w:t>支持和引导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生产食用林产品的国家级或省、市、县级林业产业化企业、国家级标准化示范企业、省级农民林业专业合作社、家庭林场等规模化种植基地自主</w:t>
      </w:r>
      <w:r>
        <w:rPr>
          <w:rFonts w:ascii="Times New Roman" w:hAnsi="仿宋" w:eastAsia="仿宋"/>
          <w:sz w:val="32"/>
          <w:szCs w:val="32"/>
          <w:lang w:eastAsia="zh-CN"/>
        </w:rPr>
        <w:t>委托第三方检测机构开展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产品及其产地土壤抽样检测。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加大食用林产品生产基地监管力度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强化源头管理。科学引导生产者调整种植计划和栽植品种。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强化过程管理。加强对食用林产品生产经营过程的服务指导和监督检查，引导生产经营者依法、规范、科学使用农药化肥，推广有害生物绿色防控，严禁使用国家禁止、淘汰或未经依法许可的农药等投入品。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强化结果管理。根据食用林产品抽样检测结果，科学分析食用林产品生产过程中存在的问题，建立问题清单，督促相关生产基地及时整改；建立不合格食用林产品销毁台账，依法销毁不合格食用林产品，确保不流入市场；对其中涉嫌违法的行为，严肃处理，依法公开曝光，形成高压态势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提升林业生产经营人员综合水平。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过线上线下相结合的方式，积极开展集体学习、专家讲座、网络指导、现场教学等培训活动，讲述林业技术规范和操作规程，传授定干除萌、整形修剪、疏花疏果、病虫害防治等林业栽培要点，宣传林业、食品安全相关法律法规，全面提升生产经营者综合管理水平和法律素养，</w:t>
      </w:r>
      <w:r>
        <w:rPr>
          <w:rFonts w:hint="eastAsia" w:ascii="仿宋_GB2312" w:eastAsia="仿宋_GB2312"/>
          <w:sz w:val="32"/>
          <w:szCs w:val="32"/>
        </w:rPr>
        <w:t>营造群策群力、社会共治的</w:t>
      </w:r>
      <w:r>
        <w:rPr>
          <w:rFonts w:hint="eastAsia" w:ascii="仿宋_GB2312" w:eastAsia="仿宋_GB2312"/>
          <w:sz w:val="32"/>
          <w:szCs w:val="32"/>
          <w:lang w:eastAsia="zh-CN"/>
        </w:rPr>
        <w:t>良好</w:t>
      </w:r>
      <w:r>
        <w:rPr>
          <w:rFonts w:hint="eastAsia" w:ascii="仿宋_GB2312" w:eastAsia="仿宋_GB2312"/>
          <w:sz w:val="32"/>
          <w:szCs w:val="32"/>
        </w:rPr>
        <w:t>局面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促进我市林业高质量发展。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培育林下经济示范基地。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林业标准化示范区建设为抓手，结合滁州“三树一苗”产业发展，通过政策引领、标准培训、技术指导、资金奖补等多种措施，积极培育以薄壳山核桃等标准化基地为主体的林下特色中药材、森林食品等“食安安徽”林下经济示范基地，引导广大林业经营者走向标准化、规模化、市场化、品牌化道路，全面提升我市林业经济发展水平，助力“食安安徽”品牌建设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组织保障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强化组织领导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。成立以分管领导为组长，有关业务科室负责人为成员的领导小组，具体负责食用林产品安全监管工作，强化责任制和责任追究制，切实把责任制和组织领导落到实处。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加强宣传教育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。加大对公众宣传教育及食用林产品生产、监管人员的培训力度，广泛普及食品安全知识，切实提高生产环节食用林产品经营者的守法意识，不断提升消费者自我保护能力和依法维权意识。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增强协作监管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。加强与各有关部门之间的统筹协调与协作配合，及时通报有关情况，形成监管合力，切实加强对食用林产品安全监管工作的指导和督查，一级抓一级，层层抓落实。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附件：食用林产品规模化生产基地（拟纳入监测范围）摸排登记表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2021年4月19日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default" w:ascii="仿宋_GB2312" w:eastAsia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644" w:bottom="1440" w:left="1644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食用林产品规模化生产基地（拟纳入监测范围）摸排登记表</w:t>
      </w:r>
    </w:p>
    <w:tbl>
      <w:tblPr>
        <w:tblStyle w:val="4"/>
        <w:tblpPr w:leftFromText="180" w:rightFromText="180" w:vertAnchor="text" w:horzAnchor="page" w:tblpXSpec="center" w:tblpY="710"/>
        <w:tblOverlap w:val="never"/>
        <w:tblW w:w="15042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310"/>
        <w:gridCol w:w="2160"/>
        <w:gridCol w:w="2205"/>
        <w:gridCol w:w="1053"/>
        <w:gridCol w:w="1320"/>
        <w:gridCol w:w="1695"/>
        <w:gridCol w:w="1110"/>
        <w:gridCol w:w="795"/>
        <w:gridCol w:w="17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主营产品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及产量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种植面积（亩）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年收入（万）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所获认证认定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88"/>
          <w:tab w:val="left" w:pos="1218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单位：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  月  日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40"/>
          <w:lang w:val="en-US" w:eastAsia="zh-CN"/>
        </w:rPr>
      </w:pPr>
    </w:p>
    <w:sectPr>
      <w:pgSz w:w="16838" w:h="11906" w:orient="landscape"/>
      <w:pgMar w:top="934" w:right="1440" w:bottom="104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Theme="minor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2A9C0"/>
    <w:multiLevelType w:val="singleLevel"/>
    <w:tmpl w:val="B6D2A9C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E7F32CF9"/>
    <w:multiLevelType w:val="singleLevel"/>
    <w:tmpl w:val="E7F32C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78D7DEE"/>
    <w:multiLevelType w:val="singleLevel"/>
    <w:tmpl w:val="678D7DE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1524A"/>
    <w:rsid w:val="065F32D5"/>
    <w:rsid w:val="07023F68"/>
    <w:rsid w:val="14AA100E"/>
    <w:rsid w:val="15A741F2"/>
    <w:rsid w:val="163C1A58"/>
    <w:rsid w:val="17F35C58"/>
    <w:rsid w:val="181401A7"/>
    <w:rsid w:val="1A573DE1"/>
    <w:rsid w:val="1BE60446"/>
    <w:rsid w:val="1F7B10DF"/>
    <w:rsid w:val="202856B6"/>
    <w:rsid w:val="22F864A7"/>
    <w:rsid w:val="267A25DA"/>
    <w:rsid w:val="27481D7E"/>
    <w:rsid w:val="277B06F4"/>
    <w:rsid w:val="2C1511A5"/>
    <w:rsid w:val="2C5B2AF2"/>
    <w:rsid w:val="2DF35908"/>
    <w:rsid w:val="331147B2"/>
    <w:rsid w:val="3B42075F"/>
    <w:rsid w:val="3EF43EC9"/>
    <w:rsid w:val="4156530D"/>
    <w:rsid w:val="46883614"/>
    <w:rsid w:val="49280263"/>
    <w:rsid w:val="4E5A6C61"/>
    <w:rsid w:val="56715BFB"/>
    <w:rsid w:val="5AB14409"/>
    <w:rsid w:val="5B7A5A42"/>
    <w:rsid w:val="60F57752"/>
    <w:rsid w:val="673569B1"/>
    <w:rsid w:val="683065A0"/>
    <w:rsid w:val="687E7410"/>
    <w:rsid w:val="69450717"/>
    <w:rsid w:val="69EC4689"/>
    <w:rsid w:val="6BDD0C80"/>
    <w:rsid w:val="70CA1794"/>
    <w:rsid w:val="751F29B2"/>
    <w:rsid w:val="75B52ACE"/>
    <w:rsid w:val="764D6916"/>
    <w:rsid w:val="77AB7A05"/>
    <w:rsid w:val="7C8032AF"/>
    <w:rsid w:val="7D5B2310"/>
    <w:rsid w:val="7E7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lyzzh</dc:creator>
  <cp:lastModifiedBy>十八画生1414049935</cp:lastModifiedBy>
  <cp:lastPrinted>2021-04-19T07:24:06Z</cp:lastPrinted>
  <dcterms:modified xsi:type="dcterms:W3CDTF">2021-04-19T07:28:28Z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EA88906B62794C72AD3CA462BC83EF90</vt:lpwstr>
  </property>
</Properties>
</file>